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黑体" w:hAnsi="黑体" w:eastAsia="黑体" w:cs="黑体"/>
          <w:b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/>
          <w:color w:val="333333"/>
          <w:sz w:val="44"/>
          <w:szCs w:val="44"/>
          <w:shd w:val="clear" w:color="auto" w:fill="FFFFFF"/>
          <w:lang w:val="en-US" w:eastAsia="zh-CN"/>
        </w:rPr>
        <w:t>2019年</w:t>
      </w:r>
      <w:bookmarkStart w:id="0" w:name="_GoBack"/>
      <w:bookmarkEnd w:id="0"/>
      <w:r>
        <w:rPr>
          <w:rFonts w:hint="eastAsia" w:ascii="黑体" w:hAnsi="黑体" w:eastAsia="黑体" w:cs="黑体"/>
          <w:b/>
          <w:color w:val="333333"/>
          <w:sz w:val="44"/>
          <w:szCs w:val="44"/>
          <w:shd w:val="clear" w:color="auto" w:fill="FFFFFF"/>
          <w:lang w:eastAsia="zh-CN"/>
        </w:rPr>
        <w:t>竞秀区</w:t>
      </w:r>
      <w:r>
        <w:rPr>
          <w:rFonts w:hint="eastAsia" w:ascii="黑体" w:hAnsi="黑体" w:eastAsia="黑体" w:cs="黑体"/>
          <w:b/>
          <w:color w:val="333333"/>
          <w:sz w:val="44"/>
          <w:szCs w:val="44"/>
          <w:shd w:val="clear" w:color="auto" w:fill="FFFFFF"/>
        </w:rPr>
        <w:t>政府信息公开工作年度报告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黑体" w:hAnsi="黑体" w:eastAsia="黑体" w:cs="黑体"/>
          <w:b/>
          <w:color w:val="333333"/>
          <w:sz w:val="44"/>
          <w:szCs w:val="44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一、总体情况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201</w:t>
      </w:r>
      <w:r>
        <w:rPr>
          <w:rFonts w:hint="eastAsia" w:hAnsi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年，在市委、市政府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和区委</w:t>
      </w:r>
      <w:r>
        <w:rPr>
          <w:rFonts w:hint="eastAsia" w:ascii="仿宋_GB2312" w:hAnsi="仿宋_GB2312" w:eastAsia="仿宋_GB2312" w:cs="仿宋_GB2312"/>
          <w:sz w:val="32"/>
          <w:szCs w:val="32"/>
        </w:rPr>
        <w:t>的正确领导下，我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认真学习贯彻落实《中华人民共和国政府信息公开条例》的具体要求，积极主动做好全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包括信息公开在内的各项政务公开工作。我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不断扩大公开内容、拓展公开渠道、加强制度建设和平台建设，始终坚持“以公开为常态、不公开为例外”原则，增强公开实效，积极稳妥地推进政府信息公开各项工作。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强化组织保证、推进机制制度落实。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领导高度重视，各级各相关部门按照职能对全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政府信息公开工作作了细化分解和责任分工，认真抓好落实，不断提高抓落实的针对性和有效性。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不断完善公开制度和公文审核标准化流程，拓展公开内容，及时更新工作动态，并积极推进行政许可和行政处罚等信息公示工作的落实。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抓好公开平台建设，优化了公开目录，更新了信息公开指南，同时积极运用微博、微信和移动客户端等新媒体公开政府信息。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加强业务培训，坚持集中培训、以会代训等方式对政府信息公开队伍进行培训，不断提高政府信息公开业务能力。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二、主动公开政府信息的情况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截至 201</w:t>
      </w:r>
      <w:r>
        <w:rPr>
          <w:rFonts w:hint="eastAsia" w:hAnsi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 12月 31日，按照政务公开及政府信息公开工作的有关要求，我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通过网站、政务微博、微信公众平台等多种媒体主动公开包括新增、修改或编辑在内有关各类信息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hAnsi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</w:rPr>
        <w:t>余条。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三、依申请公开政府信息情况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201</w:t>
      </w:r>
      <w:r>
        <w:rPr>
          <w:rFonts w:hint="eastAsia" w:hAnsi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区收到</w:t>
      </w:r>
      <w:r>
        <w:rPr>
          <w:rFonts w:hint="eastAsia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例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政府信息依申请公开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全部</w:t>
      </w:r>
      <w:r>
        <w:rPr>
          <w:rFonts w:hint="eastAsia" w:ascii="仿宋" w:hAnsi="仿宋" w:eastAsia="仿宋" w:cs="仿宋"/>
          <w:sz w:val="32"/>
          <w:szCs w:val="32"/>
        </w:rPr>
        <w:t>按照规定时限对申请人作出答复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hAnsi="仿宋_GB2312" w:cs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、政府信息公开工作下步计划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hAnsi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年至今，我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扎实推进政府信息公开工作，严格完成了上级交办的各项工作任务。今后的工作中，我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将进一步狠抓制度建设，建立健全各项规章制度，规范信息公开流程，继续深化重点领域信息公开，进一步拓展重点领域信息公开内容，丰富公开形式，提高公开质量，使我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信息公开工作再上新台阶。</w:t>
      </w:r>
    </w:p>
    <w:p>
      <w:pPr>
        <w:pStyle w:val="2"/>
        <w:shd w:val="clear" w:color="auto" w:fill="FFFFFF"/>
        <w:spacing w:before="0" w:beforeAutospacing="0" w:after="240" w:afterAutospacing="0"/>
        <w:ind w:firstLine="42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增1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23677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减13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1872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1207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减330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6382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减20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减19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eastAsia="仿宋_GB2312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7441.879403万元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ind w:firstLine="420"/>
        <w:jc w:val="both"/>
        <w:rPr>
          <w:rFonts w:hint="eastAsia"/>
          <w:color w:val="333333"/>
        </w:rPr>
      </w:pPr>
    </w:p>
    <w:p>
      <w:pPr>
        <w:pStyle w:val="2"/>
        <w:shd w:val="clear" w:color="auto" w:fill="FFFFFF"/>
        <w:spacing w:before="0" w:beforeAutospacing="0" w:after="240" w:afterAutospacing="0"/>
        <w:ind w:firstLine="420"/>
        <w:jc w:val="both"/>
        <w:outlineLvl w:val="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0" w:type="dxa"/>
            <w:gridSpan w:val="5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ind w:firstLine="420"/>
        <w:jc w:val="both"/>
        <w:rPr>
          <w:rFonts w:hint="eastAsia"/>
          <w:color w:val="333333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420"/>
        <w:jc w:val="both"/>
        <w:outlineLvl w:val="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jc w:val="both"/>
        <w:rPr>
          <w:rFonts w:hint="eastAsia"/>
          <w:color w:val="333333"/>
        </w:rPr>
      </w:pP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</w:tr>
    </w:tbl>
    <w:p>
      <w:pPr>
        <w:widowControl/>
        <w:shd w:val="clear" w:color="auto" w:fill="FFFFFF"/>
        <w:rPr>
          <w:rFonts w:hint="eastAsia" w:ascii="宋体" w:hAnsi="宋体" w:eastAsia="宋体" w:cs="宋体"/>
          <w:color w:val="333333"/>
          <w:sz w:val="24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420"/>
        <w:jc w:val="both"/>
        <w:outlineLvl w:val="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numPr>
          <w:ilvl w:val="0"/>
          <w:numId w:val="0"/>
        </w:numPr>
        <w:ind w:firstLine="640" w:firstLineChars="200"/>
        <w:rPr>
          <w:rFonts w:hint="eastAsia"/>
        </w:rPr>
      </w:pPr>
      <w:r>
        <w:rPr>
          <w:rFonts w:hint="eastAsia"/>
        </w:rPr>
        <w:t>（一）存在的主要问题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一是认识不够到位，部分</w:t>
      </w:r>
      <w:r>
        <w:rPr>
          <w:rFonts w:hint="eastAsia"/>
          <w:lang w:eastAsia="zh-CN"/>
        </w:rPr>
        <w:t>工作人员</w:t>
      </w:r>
      <w:r>
        <w:rPr>
          <w:rFonts w:hint="eastAsia"/>
        </w:rPr>
        <w:t>对政务公开的重要意义认识不足，工作被动应付，研究不够。二是信息公开形势较单一，网站栏目更新频率和新媒体公开信息数量有待提高。</w:t>
      </w:r>
    </w:p>
    <w:p>
      <w:pPr>
        <w:numPr>
          <w:ilvl w:val="0"/>
          <w:numId w:val="1"/>
        </w:numPr>
        <w:ind w:firstLine="640" w:firstLineChars="200"/>
        <w:rPr>
          <w:rFonts w:hint="eastAsia"/>
        </w:rPr>
      </w:pPr>
      <w:r>
        <w:rPr>
          <w:rFonts w:hint="eastAsia"/>
        </w:rPr>
        <w:t>改进措施。</w:t>
      </w:r>
    </w:p>
    <w:p>
      <w:pPr>
        <w:numPr>
          <w:ilvl w:val="0"/>
          <w:numId w:val="0"/>
        </w:numPr>
        <w:ind w:firstLine="640" w:firstLineChars="200"/>
        <w:rPr>
          <w:rFonts w:hint="eastAsia"/>
        </w:rPr>
      </w:pPr>
      <w:r>
        <w:rPr>
          <w:rFonts w:hint="eastAsia"/>
        </w:rPr>
        <w:t>一是进一步扩大政务公开的范围和内容，拓宽深度及广度，在内容和范围上再做延伸，努力从多个层面上实行全方位公开，加强政务公开电子化建设，不断向全覆盖、精细化推进。二是加强培训指导，增强信息公开的主动性，提高政府信息公开工作的质量和水平。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jc w:val="both"/>
        <w:outlineLvl w:val="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2"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无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其他需要报告的事项</w:t>
      </w:r>
    </w:p>
    <w:p/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保定市竞秀区人民政府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2020年</w:t>
      </w:r>
      <w:r>
        <w:rPr>
          <w:rFonts w:hint="eastAsia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月1</w:t>
      </w:r>
      <w:r>
        <w:rPr>
          <w:rFonts w:hint="eastAsia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rPr>
          <w:rFonts w:hint="default" w:eastAsia="仿宋_GB231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F2658C"/>
    <w:multiLevelType w:val="singleLevel"/>
    <w:tmpl w:val="D9F2658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B229F"/>
    <w:rsid w:val="03C955F1"/>
    <w:rsid w:val="0F115613"/>
    <w:rsid w:val="33C33B2A"/>
    <w:rsid w:val="3E5B229F"/>
    <w:rsid w:val="56BD410D"/>
    <w:rsid w:val="6731721E"/>
    <w:rsid w:val="728264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1863</Words>
  <Characters>1933</Characters>
  <Lines>0</Lines>
  <Paragraphs>0</Paragraphs>
  <TotalTime>0</TotalTime>
  <ScaleCrop>false</ScaleCrop>
  <LinksUpToDate>false</LinksUpToDate>
  <CharactersWithSpaces>2021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2019-12-29T11:38:00Z</dcterms:created>
  <dc:creator>小公举</dc:creator>
  <cp:lastModifiedBy>洪林</cp:lastModifiedBy>
  <cp:lastPrinted>2019-12-29T11:40:00Z</cp:lastPrinted>
  <dcterms:modified xsi:type="dcterms:W3CDTF">2020-03-20T08:07:25Z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